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3F70EB">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844223">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3C448C">
              <w:rPr>
                <w:rFonts w:ascii="Arial" w:hAnsi="Arial" w:cs="Arial"/>
                <w:bCs/>
                <w:sz w:val="20"/>
                <w:szCs w:val="20"/>
              </w:rPr>
              <w:t xml:space="preserve">American </w:t>
            </w:r>
            <w:r w:rsidRPr="003C448C">
              <w:rPr>
                <w:rFonts w:ascii="Arial" w:hAnsi="Arial" w:cs="Arial"/>
                <w:bCs/>
                <w:sz w:val="20"/>
                <w:szCs w:val="20"/>
              </w:rPr>
              <w:t>History</w:t>
            </w:r>
            <w:r w:rsidR="00844223">
              <w:rPr>
                <w:rFonts w:ascii="Arial" w:hAnsi="Arial" w:cs="Arial"/>
                <w:bCs/>
                <w:sz w:val="20"/>
                <w:szCs w:val="20"/>
              </w:rPr>
              <w:t xml:space="preserve"> (6 hours)</w:t>
            </w:r>
          </w:p>
        </w:tc>
        <w:tc>
          <w:tcPr>
            <w:tcW w:w="2435" w:type="dxa"/>
            <w:tcBorders>
              <w:bottom w:val="single" w:sz="4" w:space="0" w:color="auto"/>
            </w:tcBorders>
            <w:vAlign w:val="center"/>
          </w:tcPr>
          <w:p w:rsidR="006C5675" w:rsidRPr="0062257B" w:rsidRDefault="006C5675" w:rsidP="003F70EB">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3F70EB">
        <w:trPr>
          <w:trHeight w:val="1520"/>
          <w:jc w:val="center"/>
        </w:trPr>
        <w:tc>
          <w:tcPr>
            <w:tcW w:w="9360" w:type="dxa"/>
            <w:gridSpan w:val="4"/>
            <w:vAlign w:val="center"/>
          </w:tcPr>
          <w:p w:rsidR="006C5675" w:rsidRPr="0062257B" w:rsidRDefault="006C5675" w:rsidP="003F70EB">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3F70EB">
        <w:trPr>
          <w:trHeight w:val="1970"/>
          <w:jc w:val="center"/>
        </w:trPr>
        <w:tc>
          <w:tcPr>
            <w:tcW w:w="9360" w:type="dxa"/>
            <w:gridSpan w:val="4"/>
            <w:vAlign w:val="center"/>
          </w:tcPr>
          <w:p w:rsidR="006C5675" w:rsidRPr="00730B13" w:rsidRDefault="006C5675" w:rsidP="003F70EB">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6C5675" w:rsidRDefault="00C10050" w:rsidP="006C5675">
            <w:pPr>
              <w:pStyle w:val="ListParagraph"/>
              <w:numPr>
                <w:ilvl w:val="0"/>
                <w:numId w:val="2"/>
              </w:numPr>
              <w:rPr>
                <w:rFonts w:ascii="Arial" w:hAnsi="Arial" w:cs="Arial"/>
                <w:sz w:val="20"/>
              </w:rPr>
            </w:pPr>
            <w:r>
              <w:rPr>
                <w:rFonts w:ascii="Arial" w:hAnsi="Arial" w:cs="Arial"/>
                <w:sz w:val="20"/>
              </w:rPr>
              <w:t xml:space="preserve">Provision for </w:t>
            </w:r>
            <w:r w:rsidR="006C5675" w:rsidRPr="00730B13">
              <w:rPr>
                <w:rFonts w:ascii="Arial" w:hAnsi="Arial" w:cs="Arial"/>
                <w:sz w:val="20"/>
              </w:rPr>
              <w:t>Student Access</w:t>
            </w:r>
          </w:p>
          <w:p w:rsidR="006C5675" w:rsidRDefault="00C10050" w:rsidP="006C5675">
            <w:pPr>
              <w:pStyle w:val="ListParagraph"/>
              <w:numPr>
                <w:ilvl w:val="0"/>
                <w:numId w:val="2"/>
              </w:numPr>
              <w:rPr>
                <w:rFonts w:ascii="Arial" w:hAnsi="Arial" w:cs="Arial"/>
                <w:sz w:val="20"/>
              </w:rPr>
            </w:pPr>
            <w:r>
              <w:rPr>
                <w:rFonts w:ascii="Arial" w:hAnsi="Arial" w:cs="Arial"/>
                <w:sz w:val="20"/>
              </w:rPr>
              <w:t xml:space="preserve">Provision for </w:t>
            </w:r>
            <w:r w:rsidR="006C5675" w:rsidRPr="00730B13">
              <w:rPr>
                <w:rFonts w:ascii="Arial" w:hAnsi="Arial" w:cs="Arial"/>
                <w:sz w:val="20"/>
              </w:rPr>
              <w:t>Student Progression and Completion</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C10050">
              <w:rPr>
                <w:rFonts w:ascii="Arial" w:hAnsi="Arial" w:cs="Arial"/>
                <w:sz w:val="20"/>
              </w:rPr>
              <w:t>for</w:t>
            </w:r>
            <w:r w:rsidRPr="00730B13">
              <w:rPr>
                <w:rFonts w:ascii="Arial" w:hAnsi="Arial" w:cs="Arial"/>
                <w:sz w:val="20"/>
              </w:rPr>
              <w:t xml:space="preserve"> Quality Educational Programs</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C10050">
              <w:rPr>
                <w:rFonts w:ascii="Arial" w:hAnsi="Arial" w:cs="Arial"/>
                <w:sz w:val="20"/>
              </w:rPr>
              <w:t>for</w:t>
            </w:r>
            <w:r w:rsidRPr="00730B13">
              <w:rPr>
                <w:rFonts w:ascii="Arial" w:hAnsi="Arial" w:cs="Arial"/>
                <w:sz w:val="20"/>
              </w:rPr>
              <w:t xml:space="preserve"> Student Services for Holistic Development</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C10050">
              <w:rPr>
                <w:rFonts w:ascii="Arial" w:hAnsi="Arial" w:cs="Arial"/>
                <w:sz w:val="20"/>
              </w:rPr>
              <w:t>for</w:t>
            </w:r>
            <w:r w:rsidRPr="00730B13">
              <w:rPr>
                <w:rFonts w:ascii="Arial" w:hAnsi="Arial" w:cs="Arial"/>
                <w:sz w:val="20"/>
              </w:rPr>
              <w:t xml:space="preserve"> Developmental Education</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C10050">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6C5675" w:rsidP="00C10050">
            <w:pPr>
              <w:pStyle w:val="ListParagraph"/>
              <w:numPr>
                <w:ilvl w:val="0"/>
                <w:numId w:val="2"/>
              </w:numPr>
              <w:rPr>
                <w:rFonts w:ascii="Arial" w:hAnsi="Arial" w:cs="Arial"/>
                <w:sz w:val="20"/>
              </w:rPr>
            </w:pPr>
            <w:r w:rsidRPr="00730B13">
              <w:rPr>
                <w:rFonts w:ascii="Arial" w:hAnsi="Arial" w:cs="Arial"/>
                <w:sz w:val="20"/>
              </w:rPr>
              <w:t xml:space="preserve">Provision </w:t>
            </w:r>
            <w:r w:rsidR="00C10050">
              <w:rPr>
                <w:rFonts w:ascii="Arial" w:hAnsi="Arial" w:cs="Arial"/>
                <w:sz w:val="20"/>
              </w:rPr>
              <w:t>for</w:t>
            </w:r>
            <w:r w:rsidRPr="00730B13">
              <w:rPr>
                <w:rFonts w:ascii="Arial" w:hAnsi="Arial" w:cs="Arial"/>
                <w:sz w:val="20"/>
              </w:rPr>
              <w:t xml:space="preserve"> Cultural Enrichment</w:t>
            </w:r>
          </w:p>
        </w:tc>
      </w:tr>
      <w:tr w:rsidR="006C5675" w:rsidRPr="0062257B" w:rsidTr="003F70EB">
        <w:trPr>
          <w:trHeight w:val="3140"/>
          <w:jc w:val="center"/>
        </w:trPr>
        <w:tc>
          <w:tcPr>
            <w:tcW w:w="9360" w:type="dxa"/>
            <w:gridSpan w:val="4"/>
            <w:vAlign w:val="center"/>
          </w:tcPr>
          <w:p w:rsidR="006C5675" w:rsidRPr="0062257B" w:rsidRDefault="006C5675" w:rsidP="003F70EB">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3F70EB">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3F70EB">
        <w:trPr>
          <w:trHeight w:val="1970"/>
          <w:jc w:val="center"/>
        </w:trPr>
        <w:tc>
          <w:tcPr>
            <w:tcW w:w="9360" w:type="dxa"/>
            <w:gridSpan w:val="4"/>
            <w:vAlign w:val="center"/>
          </w:tcPr>
          <w:p w:rsidR="006C5675" w:rsidRPr="00882CBD" w:rsidRDefault="006C5675" w:rsidP="003F70EB">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3F70EB">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2D6614" w:rsidRDefault="002D6614" w:rsidP="002D6614">
      <w:pPr>
        <w:jc w:val="center"/>
        <w:rPr>
          <w:color w:val="1F497D"/>
        </w:rPr>
      </w:pPr>
      <w:r>
        <w:rPr>
          <w:rFonts w:ascii="Arial" w:hAnsi="Arial" w:cs="Arial"/>
          <w:b/>
          <w:bCs/>
        </w:rPr>
        <w:lastRenderedPageBreak/>
        <w:t>American History (6 Hours)</w:t>
      </w:r>
    </w:p>
    <w:p w:rsidR="002D6614" w:rsidRDefault="002D6614" w:rsidP="002D6614">
      <w:pPr>
        <w:rPr>
          <w:color w:val="1F497D"/>
        </w:rPr>
      </w:pPr>
    </w:p>
    <w:tbl>
      <w:tblPr>
        <w:tblW w:w="5000" w:type="pct"/>
        <w:tblCellMar>
          <w:left w:w="0" w:type="dxa"/>
          <w:right w:w="0" w:type="dxa"/>
        </w:tblCellMar>
        <w:tblLook w:val="04A0" w:firstRow="1" w:lastRow="0" w:firstColumn="1" w:lastColumn="0" w:noHBand="0" w:noVBand="1"/>
      </w:tblPr>
      <w:tblGrid>
        <w:gridCol w:w="2458"/>
        <w:gridCol w:w="1366"/>
        <w:gridCol w:w="2459"/>
        <w:gridCol w:w="2459"/>
        <w:gridCol w:w="2459"/>
        <w:gridCol w:w="2459"/>
      </w:tblGrid>
      <w:tr w:rsidR="00066795" w:rsidTr="00A85F37">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6795" w:rsidRPr="00DB654B" w:rsidRDefault="00066795" w:rsidP="003F70EB">
            <w:pPr>
              <w:jc w:val="center"/>
              <w:rPr>
                <w:rFonts w:ascii="Arial" w:hAnsi="Arial" w:cs="Arial"/>
                <w:b/>
                <w:bCs/>
                <w:sz w:val="24"/>
                <w:szCs w:val="24"/>
              </w:rPr>
            </w:pPr>
            <w:bookmarkStart w:id="0" w:name="_GoBack" w:colFirst="1" w:colLast="1"/>
            <w:r w:rsidRPr="00DB654B">
              <w:rPr>
                <w:rFonts w:ascii="Arial" w:hAnsi="Arial" w:cs="Arial"/>
                <w:b/>
                <w:bCs/>
              </w:rPr>
              <w:t>Core Objective</w:t>
            </w:r>
          </w:p>
        </w:tc>
        <w:tc>
          <w:tcPr>
            <w:tcW w:w="500" w:type="pct"/>
            <w:tcBorders>
              <w:top w:val="single" w:sz="8" w:space="0" w:color="auto"/>
              <w:left w:val="nil"/>
              <w:bottom w:val="single" w:sz="8" w:space="0" w:color="auto"/>
              <w:right w:val="single" w:sz="8" w:space="0" w:color="auto"/>
            </w:tcBorders>
          </w:tcPr>
          <w:p w:rsidR="00066795" w:rsidRPr="00DB654B" w:rsidRDefault="00B61881" w:rsidP="00A85F37">
            <w:pPr>
              <w:jc w:val="center"/>
              <w:rPr>
                <w:rFonts w:ascii="Arial" w:hAnsi="Arial" w:cs="Arial"/>
                <w:b/>
                <w:bCs/>
              </w:rPr>
            </w:pPr>
            <w:r>
              <w:rPr>
                <w:rFonts w:ascii="Arial" w:hAnsi="Arial" w:cs="Arial"/>
                <w:b/>
                <w:bCs/>
              </w:rPr>
              <w:t>Course</w:t>
            </w:r>
          </w:p>
        </w:tc>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6795" w:rsidRPr="00DB654B" w:rsidRDefault="00066795" w:rsidP="003F70EB">
            <w:pPr>
              <w:jc w:val="center"/>
              <w:rPr>
                <w:rFonts w:ascii="Arial" w:hAnsi="Arial" w:cs="Arial"/>
                <w:b/>
                <w:bCs/>
                <w:sz w:val="24"/>
                <w:szCs w:val="24"/>
              </w:rPr>
            </w:pPr>
            <w:r w:rsidRPr="00DB654B">
              <w:rPr>
                <w:rFonts w:ascii="Arial" w:hAnsi="Arial" w:cs="Arial"/>
                <w:b/>
                <w:bCs/>
              </w:rPr>
              <w:t>Student Learning Outcomes</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795" w:rsidRPr="00DB654B" w:rsidRDefault="00066795" w:rsidP="003F70EB">
            <w:pPr>
              <w:jc w:val="center"/>
              <w:rPr>
                <w:rFonts w:ascii="Arial" w:hAnsi="Arial" w:cs="Arial"/>
                <w:b/>
                <w:bCs/>
                <w:sz w:val="24"/>
                <w:szCs w:val="24"/>
              </w:rPr>
            </w:pPr>
            <w:r w:rsidRPr="00DB654B">
              <w:rPr>
                <w:rFonts w:ascii="Arial" w:hAnsi="Arial" w:cs="Arial"/>
                <w:b/>
                <w:bCs/>
              </w:rPr>
              <w:t>Assessment Criteria</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795" w:rsidRPr="00DB654B" w:rsidRDefault="00066795" w:rsidP="003F70EB">
            <w:pPr>
              <w:jc w:val="center"/>
              <w:rPr>
                <w:rFonts w:ascii="Arial" w:hAnsi="Arial" w:cs="Arial"/>
                <w:b/>
                <w:bCs/>
                <w:sz w:val="24"/>
                <w:szCs w:val="24"/>
              </w:rPr>
            </w:pPr>
            <w:r w:rsidRPr="00DB654B">
              <w:rPr>
                <w:rFonts w:ascii="Arial" w:hAnsi="Arial" w:cs="Arial"/>
                <w:b/>
                <w:bCs/>
              </w:rPr>
              <w:t>Student Results</w:t>
            </w:r>
          </w:p>
        </w:tc>
        <w:tc>
          <w:tcPr>
            <w:tcW w:w="900" w:type="pct"/>
            <w:tcBorders>
              <w:top w:val="single" w:sz="8" w:space="0" w:color="auto"/>
              <w:left w:val="nil"/>
              <w:bottom w:val="single" w:sz="8" w:space="0" w:color="auto"/>
              <w:right w:val="single" w:sz="8" w:space="0" w:color="auto"/>
            </w:tcBorders>
          </w:tcPr>
          <w:p w:rsidR="00066795" w:rsidRPr="00DB654B" w:rsidRDefault="00066795" w:rsidP="003F70EB">
            <w:pPr>
              <w:jc w:val="center"/>
              <w:rPr>
                <w:rFonts w:ascii="Arial" w:hAnsi="Arial" w:cs="Arial"/>
                <w:b/>
                <w:bCs/>
              </w:rPr>
            </w:pPr>
            <w:r w:rsidRPr="00DB654B">
              <w:rPr>
                <w:rFonts w:ascii="Arial" w:hAnsi="Arial" w:cs="Arial"/>
                <w:b/>
                <w:bCs/>
              </w:rPr>
              <w:t>Use of Results</w:t>
            </w:r>
          </w:p>
        </w:tc>
      </w:tr>
      <w:tr w:rsidR="00066795" w:rsidTr="00A85F3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66795" w:rsidRPr="00DB654B" w:rsidRDefault="00066795" w:rsidP="003F70EB">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Borders>
              <w:top w:val="single" w:sz="8" w:space="0" w:color="auto"/>
              <w:left w:val="nil"/>
              <w:bottom w:val="single" w:sz="8" w:space="0" w:color="auto"/>
              <w:right w:val="single" w:sz="8" w:space="0" w:color="auto"/>
            </w:tcBorders>
          </w:tcPr>
          <w:p w:rsidR="00066795" w:rsidRDefault="00066795" w:rsidP="00A85F37">
            <w:pPr>
              <w:jc w:val="center"/>
              <w:rPr>
                <w:rFonts w:ascii="Arial" w:hAnsi="Arial" w:cs="Arial"/>
                <w:bCs/>
                <w:sz w:val="20"/>
                <w:szCs w:val="20"/>
              </w:rPr>
            </w:pPr>
            <w:r>
              <w:rPr>
                <w:rFonts w:ascii="Arial" w:hAnsi="Arial" w:cs="Arial"/>
                <w:bCs/>
                <w:sz w:val="20"/>
                <w:szCs w:val="20"/>
              </w:rPr>
              <w:t>HIST 1301</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66795" w:rsidRPr="00DB654B" w:rsidRDefault="00066795" w:rsidP="003F70EB">
            <w:pPr>
              <w:rPr>
                <w:rFonts w:ascii="Arial" w:hAnsi="Arial" w:cs="Arial"/>
                <w:bCs/>
                <w:sz w:val="20"/>
                <w:szCs w:val="20"/>
              </w:rPr>
            </w:pPr>
            <w:r>
              <w:rPr>
                <w:rFonts w:ascii="Arial" w:hAnsi="Arial" w:cs="Arial"/>
                <w:bCs/>
                <w:sz w:val="20"/>
                <w:szCs w:val="20"/>
              </w:rPr>
              <w:t xml:space="preserve">1a.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066795" w:rsidRPr="003D02B8" w:rsidRDefault="00066795" w:rsidP="003F70EB">
            <w:pPr>
              <w:rPr>
                <w:rFonts w:ascii="Arial" w:hAnsi="Arial" w:cs="Arial"/>
                <w:bCs/>
                <w:sz w:val="20"/>
                <w:szCs w:val="20"/>
              </w:rPr>
            </w:pPr>
            <w:r>
              <w:rPr>
                <w:rFonts w:ascii="Arial" w:hAnsi="Arial" w:cs="Arial"/>
                <w:bCs/>
                <w:sz w:val="20"/>
                <w:szCs w:val="20"/>
              </w:rPr>
              <w:t xml:space="preserve">1a.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066795" w:rsidRDefault="00066795" w:rsidP="00066795">
            <w:pPr>
              <w:ind w:hanging="18"/>
              <w:rPr>
                <w:rFonts w:ascii="Arial" w:hAnsi="Arial" w:cs="Arial"/>
                <w:bCs/>
                <w:sz w:val="20"/>
                <w:szCs w:val="20"/>
              </w:rPr>
            </w:pPr>
            <w:r>
              <w:rPr>
                <w:rFonts w:ascii="Arial" w:hAnsi="Arial" w:cs="Arial"/>
                <w:bCs/>
                <w:sz w:val="20"/>
                <w:szCs w:val="20"/>
              </w:rPr>
              <w:t>1a.</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Cl F2F: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Pa F2F: </w:t>
            </w:r>
          </w:p>
          <w:p w:rsidR="00066795" w:rsidRDefault="00066795" w:rsidP="00066795">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DI: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DC: </w:t>
            </w:r>
          </w:p>
          <w:p w:rsidR="00066795" w:rsidRPr="00C10050" w:rsidRDefault="00066795" w:rsidP="00066795">
            <w:pPr>
              <w:ind w:left="160" w:hanging="88"/>
              <w:rPr>
                <w:rFonts w:ascii="Arial" w:hAnsi="Arial" w:cs="Arial"/>
                <w:bCs/>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066795" w:rsidRPr="00DB654B" w:rsidRDefault="00066795" w:rsidP="003F70EB">
            <w:pPr>
              <w:rPr>
                <w:rFonts w:ascii="Arial" w:hAnsi="Arial" w:cs="Arial"/>
                <w:bCs/>
                <w:sz w:val="20"/>
                <w:szCs w:val="20"/>
              </w:rPr>
            </w:pPr>
          </w:p>
          <w:p w:rsidR="00066795" w:rsidRPr="00DB654B" w:rsidRDefault="00066795" w:rsidP="003F70EB">
            <w:pPr>
              <w:rPr>
                <w:rFonts w:ascii="Arial" w:hAnsi="Arial" w:cs="Arial"/>
                <w:b/>
                <w:bCs/>
                <w:sz w:val="20"/>
                <w:szCs w:val="20"/>
              </w:rPr>
            </w:pPr>
            <w:r w:rsidRPr="00DB654B">
              <w:rPr>
                <w:rFonts w:ascii="Arial" w:hAnsi="Arial" w:cs="Arial"/>
                <w:bCs/>
                <w:sz w:val="20"/>
                <w:szCs w:val="20"/>
              </w:rPr>
              <w:t xml:space="preserve">   </w:t>
            </w:r>
          </w:p>
        </w:tc>
      </w:tr>
      <w:tr w:rsidR="00066795" w:rsidTr="00A85F3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66795" w:rsidRPr="00DB654B" w:rsidRDefault="00066795" w:rsidP="003F70EB">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066795" w:rsidRDefault="00066795" w:rsidP="00A85F37">
            <w:pPr>
              <w:jc w:val="center"/>
              <w:rPr>
                <w:rFonts w:ascii="Arial" w:hAnsi="Arial" w:cs="Arial"/>
                <w:bCs/>
                <w:sz w:val="20"/>
                <w:szCs w:val="20"/>
              </w:rPr>
            </w:pPr>
            <w:r>
              <w:rPr>
                <w:rFonts w:ascii="Arial" w:hAnsi="Arial" w:cs="Arial"/>
                <w:bCs/>
                <w:sz w:val="20"/>
                <w:szCs w:val="20"/>
              </w:rPr>
              <w:t>HIST 1302</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66795" w:rsidRDefault="00066795" w:rsidP="00C10050">
            <w:pPr>
              <w:rPr>
                <w:rFonts w:ascii="Arial" w:hAnsi="Arial" w:cs="Arial"/>
                <w:bCs/>
                <w:sz w:val="20"/>
                <w:szCs w:val="20"/>
              </w:rPr>
            </w:pPr>
            <w:r>
              <w:rPr>
                <w:rFonts w:ascii="Arial" w:hAnsi="Arial" w:cs="Arial"/>
                <w:bCs/>
                <w:sz w:val="20"/>
                <w:szCs w:val="20"/>
              </w:rPr>
              <w:t xml:space="preserve">1a.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066795" w:rsidRDefault="00066795" w:rsidP="00C10050">
            <w:pPr>
              <w:rPr>
                <w:rFonts w:ascii="Arial" w:hAnsi="Arial" w:cs="Arial"/>
                <w:bCs/>
                <w:sz w:val="20"/>
                <w:szCs w:val="20"/>
              </w:rPr>
            </w:pPr>
            <w:r>
              <w:rPr>
                <w:rFonts w:ascii="Arial" w:hAnsi="Arial" w:cs="Arial"/>
                <w:bCs/>
                <w:sz w:val="20"/>
                <w:szCs w:val="20"/>
              </w:rPr>
              <w:t xml:space="preserve">1a.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066795" w:rsidRDefault="00066795" w:rsidP="00066795">
            <w:pPr>
              <w:ind w:hanging="18"/>
              <w:rPr>
                <w:rFonts w:ascii="Arial" w:hAnsi="Arial" w:cs="Arial"/>
                <w:bCs/>
                <w:sz w:val="20"/>
                <w:szCs w:val="20"/>
              </w:rPr>
            </w:pPr>
            <w:r>
              <w:rPr>
                <w:rFonts w:ascii="Arial" w:hAnsi="Arial" w:cs="Arial"/>
                <w:bCs/>
                <w:sz w:val="20"/>
                <w:szCs w:val="20"/>
              </w:rPr>
              <w:t>1a.</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Cl F2F: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Pa F2F: </w:t>
            </w:r>
          </w:p>
          <w:p w:rsidR="00066795" w:rsidRDefault="00066795" w:rsidP="00066795">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DI: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DC: </w:t>
            </w:r>
          </w:p>
          <w:p w:rsidR="00066795" w:rsidRDefault="00066795" w:rsidP="00066795">
            <w:pPr>
              <w:ind w:left="162" w:hanging="90"/>
              <w:rPr>
                <w:rFonts w:ascii="Arial" w:hAnsi="Arial" w:cs="Arial"/>
                <w:bCs/>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066795" w:rsidRDefault="00066795" w:rsidP="003F70EB">
            <w:pPr>
              <w:rPr>
                <w:rFonts w:ascii="Arial" w:hAnsi="Arial" w:cs="Arial"/>
                <w:bCs/>
                <w:sz w:val="20"/>
                <w:szCs w:val="20"/>
              </w:rPr>
            </w:pPr>
          </w:p>
        </w:tc>
      </w:tr>
      <w:tr w:rsidR="00066795" w:rsidTr="00A85F3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66795" w:rsidRPr="00DB654B" w:rsidRDefault="00066795" w:rsidP="003F70EB">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Borders>
              <w:top w:val="single" w:sz="8" w:space="0" w:color="auto"/>
              <w:left w:val="nil"/>
              <w:bottom w:val="single" w:sz="8" w:space="0" w:color="auto"/>
              <w:right w:val="single" w:sz="8" w:space="0" w:color="auto"/>
            </w:tcBorders>
          </w:tcPr>
          <w:p w:rsidR="00066795" w:rsidRDefault="00066795" w:rsidP="00A85F37">
            <w:pPr>
              <w:jc w:val="center"/>
              <w:rPr>
                <w:rFonts w:ascii="Arial" w:hAnsi="Arial" w:cs="Arial"/>
                <w:bCs/>
                <w:sz w:val="20"/>
                <w:szCs w:val="20"/>
              </w:rPr>
            </w:pPr>
            <w:r>
              <w:rPr>
                <w:rFonts w:ascii="Arial" w:hAnsi="Arial" w:cs="Arial"/>
                <w:bCs/>
                <w:sz w:val="20"/>
                <w:szCs w:val="20"/>
              </w:rPr>
              <w:t>HIST 1301</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66795" w:rsidRPr="00DB654B" w:rsidRDefault="00066795" w:rsidP="003F70EB">
            <w:pPr>
              <w:rPr>
                <w:rFonts w:ascii="Arial" w:hAnsi="Arial" w:cs="Arial"/>
                <w:bCs/>
                <w:sz w:val="20"/>
                <w:szCs w:val="20"/>
              </w:rPr>
            </w:pPr>
            <w:r>
              <w:rPr>
                <w:rFonts w:ascii="Arial" w:hAnsi="Arial" w:cs="Arial"/>
                <w:bCs/>
                <w:sz w:val="20"/>
                <w:szCs w:val="20"/>
              </w:rPr>
              <w:t xml:space="preserve">2a.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066795" w:rsidRPr="003D02B8" w:rsidRDefault="00066795" w:rsidP="003F70EB">
            <w:pPr>
              <w:rPr>
                <w:rFonts w:ascii="Arial" w:hAnsi="Arial" w:cs="Arial"/>
                <w:bCs/>
                <w:sz w:val="20"/>
                <w:szCs w:val="20"/>
              </w:rPr>
            </w:pPr>
            <w:r>
              <w:rPr>
                <w:rFonts w:ascii="Arial" w:hAnsi="Arial" w:cs="Arial"/>
                <w:bCs/>
                <w:sz w:val="20"/>
                <w:szCs w:val="20"/>
              </w:rPr>
              <w:t xml:space="preserve">2a.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066795" w:rsidRDefault="00066795" w:rsidP="00066795">
            <w:pPr>
              <w:ind w:hanging="18"/>
              <w:rPr>
                <w:rFonts w:ascii="Arial" w:hAnsi="Arial" w:cs="Arial"/>
                <w:bCs/>
                <w:sz w:val="20"/>
                <w:szCs w:val="20"/>
              </w:rPr>
            </w:pPr>
            <w:r>
              <w:rPr>
                <w:rFonts w:ascii="Arial" w:hAnsi="Arial" w:cs="Arial"/>
                <w:bCs/>
                <w:sz w:val="20"/>
                <w:szCs w:val="20"/>
              </w:rPr>
              <w:t>2</w:t>
            </w:r>
            <w:r>
              <w:rPr>
                <w:rFonts w:ascii="Arial" w:hAnsi="Arial" w:cs="Arial"/>
                <w:bCs/>
                <w:sz w:val="20"/>
                <w:szCs w:val="20"/>
              </w:rPr>
              <w:t>a.</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Cl F2F: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Pa F2F: </w:t>
            </w:r>
          </w:p>
          <w:p w:rsidR="00066795" w:rsidRDefault="00066795" w:rsidP="00066795">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DI: </w:t>
            </w:r>
          </w:p>
          <w:p w:rsidR="00066795" w:rsidRDefault="00066795" w:rsidP="00066795">
            <w:pPr>
              <w:ind w:left="160" w:hanging="88"/>
              <w:rPr>
                <w:rFonts w:ascii="Arial" w:hAnsi="Arial" w:cs="Arial"/>
                <w:bCs/>
                <w:sz w:val="20"/>
                <w:szCs w:val="20"/>
              </w:rPr>
            </w:pPr>
            <w:r>
              <w:rPr>
                <w:rFonts w:ascii="Arial" w:hAnsi="Arial" w:cs="Arial"/>
                <w:bCs/>
                <w:sz w:val="20"/>
                <w:szCs w:val="20"/>
              </w:rPr>
              <w:t xml:space="preserve">DC: </w:t>
            </w:r>
          </w:p>
          <w:p w:rsidR="00066795" w:rsidRPr="00DB654B" w:rsidRDefault="00066795" w:rsidP="00066795">
            <w:pPr>
              <w:ind w:left="162" w:hanging="90"/>
              <w:rPr>
                <w:rFonts w:ascii="Arial" w:hAnsi="Arial" w:cs="Arial"/>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066795" w:rsidRPr="00DB654B" w:rsidRDefault="00066795" w:rsidP="003F70EB">
            <w:pPr>
              <w:rPr>
                <w:rFonts w:ascii="Arial" w:hAnsi="Arial" w:cs="Arial"/>
                <w:b/>
                <w:bCs/>
                <w:sz w:val="20"/>
                <w:szCs w:val="20"/>
              </w:rPr>
            </w:pPr>
            <w:r w:rsidRPr="00DB654B">
              <w:rPr>
                <w:rFonts w:ascii="Arial" w:hAnsi="Arial" w:cs="Arial"/>
                <w:bCs/>
                <w:sz w:val="20"/>
                <w:szCs w:val="20"/>
              </w:rPr>
              <w:t xml:space="preserve"> </w:t>
            </w:r>
          </w:p>
        </w:tc>
      </w:tr>
      <w:tr w:rsidR="003D02B8" w:rsidTr="00A85F3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02B8" w:rsidRPr="00DB654B" w:rsidRDefault="003D02B8" w:rsidP="003D02B8">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3D02B8" w:rsidRDefault="003D02B8" w:rsidP="00A85F37">
            <w:pPr>
              <w:jc w:val="center"/>
              <w:rPr>
                <w:rFonts w:ascii="Arial" w:hAnsi="Arial" w:cs="Arial"/>
                <w:bCs/>
                <w:sz w:val="20"/>
                <w:szCs w:val="20"/>
              </w:rPr>
            </w:pPr>
            <w:r>
              <w:rPr>
                <w:rFonts w:ascii="Arial" w:hAnsi="Arial" w:cs="Arial"/>
                <w:bCs/>
                <w:sz w:val="20"/>
                <w:szCs w:val="20"/>
              </w:rPr>
              <w:t>HIST 1302</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02B8" w:rsidRPr="00DB654B" w:rsidRDefault="003D02B8" w:rsidP="003D02B8">
            <w:pPr>
              <w:rPr>
                <w:rFonts w:ascii="Arial" w:hAnsi="Arial" w:cs="Arial"/>
                <w:bCs/>
                <w:sz w:val="20"/>
                <w:szCs w:val="20"/>
              </w:rPr>
            </w:pPr>
            <w:r>
              <w:rPr>
                <w:rFonts w:ascii="Arial" w:hAnsi="Arial" w:cs="Arial"/>
                <w:bCs/>
                <w:sz w:val="20"/>
                <w:szCs w:val="20"/>
              </w:rPr>
              <w:t xml:space="preserve">2a.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Pr="003D02B8" w:rsidRDefault="003D02B8" w:rsidP="003D02B8">
            <w:pPr>
              <w:rPr>
                <w:rFonts w:ascii="Arial" w:hAnsi="Arial" w:cs="Arial"/>
                <w:bCs/>
                <w:sz w:val="20"/>
                <w:szCs w:val="20"/>
              </w:rPr>
            </w:pPr>
            <w:r>
              <w:rPr>
                <w:rFonts w:ascii="Arial" w:hAnsi="Arial" w:cs="Arial"/>
                <w:bCs/>
                <w:sz w:val="20"/>
                <w:szCs w:val="20"/>
              </w:rPr>
              <w:t xml:space="preserve">2a.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Default="003D02B8" w:rsidP="003D02B8">
            <w:pPr>
              <w:ind w:hanging="18"/>
              <w:rPr>
                <w:rFonts w:ascii="Arial" w:hAnsi="Arial" w:cs="Arial"/>
                <w:bCs/>
                <w:sz w:val="20"/>
                <w:szCs w:val="20"/>
              </w:rPr>
            </w:pPr>
            <w:r>
              <w:rPr>
                <w:rFonts w:ascii="Arial" w:hAnsi="Arial" w:cs="Arial"/>
                <w:bCs/>
                <w:sz w:val="20"/>
                <w:szCs w:val="20"/>
              </w:rPr>
              <w:t>2</w:t>
            </w:r>
            <w:r>
              <w:rPr>
                <w:rFonts w:ascii="Arial" w:hAnsi="Arial" w:cs="Arial"/>
                <w:bCs/>
                <w:sz w:val="20"/>
                <w:szCs w:val="20"/>
              </w:rPr>
              <w:t>a.</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Cl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Pa F2F: </w:t>
            </w:r>
          </w:p>
          <w:p w:rsidR="003D02B8" w:rsidRDefault="003D02B8" w:rsidP="003D02B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DI: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DC: </w:t>
            </w:r>
          </w:p>
          <w:p w:rsidR="003D02B8" w:rsidRPr="00DB654B" w:rsidRDefault="003D02B8" w:rsidP="003D02B8">
            <w:pPr>
              <w:ind w:left="162" w:hanging="90"/>
              <w:rPr>
                <w:rFonts w:ascii="Arial" w:hAnsi="Arial" w:cs="Arial"/>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3D02B8" w:rsidRPr="00DB654B" w:rsidRDefault="003D02B8" w:rsidP="003D02B8">
            <w:pPr>
              <w:rPr>
                <w:rFonts w:ascii="Arial" w:hAnsi="Arial" w:cs="Arial"/>
                <w:b/>
                <w:bCs/>
                <w:sz w:val="20"/>
                <w:szCs w:val="20"/>
              </w:rPr>
            </w:pPr>
            <w:r w:rsidRPr="00DB654B">
              <w:rPr>
                <w:rFonts w:ascii="Arial" w:hAnsi="Arial" w:cs="Arial"/>
                <w:bCs/>
                <w:sz w:val="20"/>
                <w:szCs w:val="20"/>
              </w:rPr>
              <w:t xml:space="preserve"> </w:t>
            </w:r>
          </w:p>
        </w:tc>
      </w:tr>
      <w:tr w:rsidR="003D02B8" w:rsidTr="00A85F3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2B8" w:rsidRPr="00DB654B" w:rsidRDefault="003D02B8" w:rsidP="003D02B8">
            <w:pPr>
              <w:rPr>
                <w:rFonts w:ascii="Arial" w:hAnsi="Arial" w:cs="Arial"/>
                <w:b/>
                <w:bCs/>
                <w:sz w:val="20"/>
                <w:szCs w:val="20"/>
              </w:rPr>
            </w:pPr>
            <w:r w:rsidRPr="00DB654B">
              <w:rPr>
                <w:rFonts w:ascii="Arial" w:hAnsi="Arial" w:cs="Arial"/>
                <w:sz w:val="20"/>
                <w:szCs w:val="20"/>
              </w:rPr>
              <w:t xml:space="preserve">3. </w:t>
            </w:r>
            <w:r>
              <w:rPr>
                <w:rFonts w:ascii="Arial" w:hAnsi="Arial" w:cs="Arial"/>
                <w:sz w:val="20"/>
                <w:szCs w:val="20"/>
              </w:rPr>
              <w:t xml:space="preserve">Social Responsibility </w:t>
            </w:r>
            <w:r w:rsidRPr="00F650D0">
              <w:rPr>
                <w:rFonts w:ascii="Arial" w:hAnsi="Arial" w:cs="Arial"/>
                <w:sz w:val="20"/>
                <w:szCs w:val="20"/>
              </w:rPr>
              <w:t>to include intercultural competence, knowledge of civic responsibility, and the ability to engage effectively in regional, n</w:t>
            </w:r>
            <w:r>
              <w:rPr>
                <w:rFonts w:ascii="Arial" w:hAnsi="Arial" w:cs="Arial"/>
                <w:sz w:val="20"/>
                <w:szCs w:val="20"/>
              </w:rPr>
              <w:t>ational, and global communities.</w:t>
            </w:r>
          </w:p>
        </w:tc>
        <w:tc>
          <w:tcPr>
            <w:tcW w:w="500" w:type="pct"/>
            <w:tcBorders>
              <w:top w:val="single" w:sz="8" w:space="0" w:color="auto"/>
              <w:left w:val="nil"/>
              <w:bottom w:val="single" w:sz="8" w:space="0" w:color="auto"/>
              <w:right w:val="single" w:sz="8" w:space="0" w:color="auto"/>
            </w:tcBorders>
          </w:tcPr>
          <w:p w:rsidR="003D02B8" w:rsidRDefault="003D02B8" w:rsidP="00A85F37">
            <w:pPr>
              <w:jc w:val="center"/>
              <w:rPr>
                <w:rFonts w:ascii="Arial" w:hAnsi="Arial" w:cs="Arial"/>
                <w:bCs/>
                <w:sz w:val="20"/>
                <w:szCs w:val="20"/>
              </w:rPr>
            </w:pPr>
            <w:r>
              <w:rPr>
                <w:rFonts w:ascii="Arial" w:hAnsi="Arial" w:cs="Arial"/>
                <w:bCs/>
                <w:sz w:val="20"/>
                <w:szCs w:val="20"/>
              </w:rPr>
              <w:t>HIST 1301</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2B8" w:rsidRPr="00DB654B" w:rsidRDefault="003D02B8" w:rsidP="003D02B8">
            <w:pPr>
              <w:rPr>
                <w:rFonts w:ascii="Arial" w:hAnsi="Arial" w:cs="Arial"/>
                <w:bCs/>
                <w:sz w:val="20"/>
                <w:szCs w:val="20"/>
              </w:rPr>
            </w:pPr>
            <w:r>
              <w:rPr>
                <w:rFonts w:ascii="Arial" w:hAnsi="Arial" w:cs="Arial"/>
                <w:bCs/>
                <w:sz w:val="20"/>
                <w:szCs w:val="20"/>
              </w:rPr>
              <w:t xml:space="preserve">3a.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Pr="003D02B8" w:rsidRDefault="003D02B8" w:rsidP="003D02B8">
            <w:pPr>
              <w:rPr>
                <w:rFonts w:ascii="Arial" w:hAnsi="Arial" w:cs="Arial"/>
                <w:bCs/>
                <w:sz w:val="20"/>
                <w:szCs w:val="20"/>
              </w:rPr>
            </w:pPr>
            <w:r>
              <w:rPr>
                <w:rFonts w:ascii="Arial" w:hAnsi="Arial" w:cs="Arial"/>
                <w:bCs/>
                <w:sz w:val="20"/>
                <w:szCs w:val="20"/>
              </w:rPr>
              <w:t xml:space="preserve">3a.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Default="003D02B8" w:rsidP="003D02B8">
            <w:pPr>
              <w:ind w:hanging="18"/>
              <w:rPr>
                <w:rFonts w:ascii="Arial" w:hAnsi="Arial" w:cs="Arial"/>
                <w:bCs/>
                <w:sz w:val="20"/>
                <w:szCs w:val="20"/>
              </w:rPr>
            </w:pPr>
            <w:r>
              <w:rPr>
                <w:rFonts w:ascii="Arial" w:hAnsi="Arial" w:cs="Arial"/>
                <w:bCs/>
                <w:sz w:val="20"/>
                <w:szCs w:val="20"/>
              </w:rPr>
              <w:t>3a</w:t>
            </w:r>
            <w:r>
              <w:rPr>
                <w:rFonts w:ascii="Arial" w:hAnsi="Arial" w:cs="Arial"/>
                <w:bCs/>
                <w:sz w:val="20"/>
                <w:szCs w:val="20"/>
              </w:rPr>
              <w:t>.</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Cl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Pa F2F: </w:t>
            </w:r>
          </w:p>
          <w:p w:rsidR="003D02B8" w:rsidRDefault="003D02B8" w:rsidP="003D02B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DI: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DC: </w:t>
            </w:r>
          </w:p>
          <w:p w:rsidR="003D02B8" w:rsidRPr="00DB654B" w:rsidRDefault="003D02B8" w:rsidP="003D02B8">
            <w:pPr>
              <w:ind w:left="162" w:hanging="90"/>
              <w:rPr>
                <w:rFonts w:ascii="Arial" w:hAnsi="Arial" w:cs="Arial"/>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3D02B8" w:rsidRPr="00DB654B" w:rsidRDefault="003D02B8" w:rsidP="003D02B8">
            <w:pPr>
              <w:rPr>
                <w:rFonts w:ascii="Arial" w:hAnsi="Arial" w:cs="Arial"/>
                <w:b/>
                <w:bCs/>
                <w:sz w:val="20"/>
                <w:szCs w:val="20"/>
              </w:rPr>
            </w:pPr>
            <w:r w:rsidRPr="00DB654B">
              <w:rPr>
                <w:rFonts w:ascii="Arial" w:hAnsi="Arial" w:cs="Arial"/>
                <w:bCs/>
                <w:sz w:val="20"/>
                <w:szCs w:val="20"/>
              </w:rPr>
              <w:t xml:space="preserve"> </w:t>
            </w:r>
          </w:p>
        </w:tc>
      </w:tr>
      <w:tr w:rsidR="003D02B8" w:rsidTr="00A85F3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02B8" w:rsidRPr="00DB654B" w:rsidRDefault="003D02B8" w:rsidP="003D02B8">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3D02B8" w:rsidRDefault="003D02B8" w:rsidP="00A85F37">
            <w:pPr>
              <w:jc w:val="center"/>
              <w:rPr>
                <w:rFonts w:ascii="Arial" w:hAnsi="Arial" w:cs="Arial"/>
                <w:bCs/>
                <w:sz w:val="20"/>
                <w:szCs w:val="20"/>
              </w:rPr>
            </w:pPr>
            <w:r>
              <w:rPr>
                <w:rFonts w:ascii="Arial" w:hAnsi="Arial" w:cs="Arial"/>
                <w:bCs/>
                <w:sz w:val="20"/>
                <w:szCs w:val="20"/>
              </w:rPr>
              <w:t>HIST 1302</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02B8" w:rsidRPr="00DB654B" w:rsidRDefault="003D02B8" w:rsidP="003D02B8">
            <w:pPr>
              <w:rPr>
                <w:rFonts w:ascii="Arial" w:hAnsi="Arial" w:cs="Arial"/>
                <w:bCs/>
                <w:sz w:val="20"/>
                <w:szCs w:val="20"/>
              </w:rPr>
            </w:pPr>
            <w:r>
              <w:rPr>
                <w:rFonts w:ascii="Arial" w:hAnsi="Arial" w:cs="Arial"/>
                <w:bCs/>
                <w:sz w:val="20"/>
                <w:szCs w:val="20"/>
              </w:rPr>
              <w:t xml:space="preserve">3a.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Pr="003D02B8" w:rsidRDefault="003D02B8" w:rsidP="003D02B8">
            <w:pPr>
              <w:rPr>
                <w:rFonts w:ascii="Arial" w:hAnsi="Arial" w:cs="Arial"/>
                <w:bCs/>
                <w:sz w:val="20"/>
                <w:szCs w:val="20"/>
              </w:rPr>
            </w:pPr>
            <w:r>
              <w:rPr>
                <w:rFonts w:ascii="Arial" w:hAnsi="Arial" w:cs="Arial"/>
                <w:bCs/>
                <w:sz w:val="20"/>
                <w:szCs w:val="20"/>
              </w:rPr>
              <w:t xml:space="preserve">3a.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Default="003D02B8" w:rsidP="003D02B8">
            <w:pPr>
              <w:ind w:hanging="18"/>
              <w:rPr>
                <w:rFonts w:ascii="Arial" w:hAnsi="Arial" w:cs="Arial"/>
                <w:bCs/>
                <w:sz w:val="20"/>
                <w:szCs w:val="20"/>
              </w:rPr>
            </w:pPr>
            <w:r>
              <w:rPr>
                <w:rFonts w:ascii="Arial" w:hAnsi="Arial" w:cs="Arial"/>
                <w:bCs/>
                <w:sz w:val="20"/>
                <w:szCs w:val="20"/>
              </w:rPr>
              <w:t>3a</w:t>
            </w:r>
            <w:r>
              <w:rPr>
                <w:rFonts w:ascii="Arial" w:hAnsi="Arial" w:cs="Arial"/>
                <w:bCs/>
                <w:sz w:val="20"/>
                <w:szCs w:val="20"/>
              </w:rPr>
              <w:t>.</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Cl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Pa F2F: </w:t>
            </w:r>
          </w:p>
          <w:p w:rsidR="003D02B8" w:rsidRDefault="003D02B8" w:rsidP="003D02B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DI: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DC: </w:t>
            </w:r>
          </w:p>
          <w:p w:rsidR="003D02B8" w:rsidRPr="00DB654B" w:rsidRDefault="003D02B8" w:rsidP="003D02B8">
            <w:pPr>
              <w:ind w:left="162" w:hanging="90"/>
              <w:rPr>
                <w:rFonts w:ascii="Arial" w:hAnsi="Arial" w:cs="Arial"/>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3D02B8" w:rsidRPr="00DB654B" w:rsidRDefault="003D02B8" w:rsidP="003D02B8">
            <w:pPr>
              <w:rPr>
                <w:rFonts w:ascii="Arial" w:hAnsi="Arial" w:cs="Arial"/>
                <w:b/>
                <w:bCs/>
                <w:sz w:val="20"/>
                <w:szCs w:val="20"/>
              </w:rPr>
            </w:pPr>
            <w:r w:rsidRPr="00DB654B">
              <w:rPr>
                <w:rFonts w:ascii="Arial" w:hAnsi="Arial" w:cs="Arial"/>
                <w:bCs/>
                <w:sz w:val="20"/>
                <w:szCs w:val="20"/>
              </w:rPr>
              <w:t xml:space="preserve"> </w:t>
            </w:r>
          </w:p>
        </w:tc>
      </w:tr>
      <w:tr w:rsidR="003D02B8" w:rsidTr="00A85F37">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02B8" w:rsidRPr="00DB654B" w:rsidRDefault="003D02B8" w:rsidP="003D02B8">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Borders>
              <w:top w:val="single" w:sz="8" w:space="0" w:color="auto"/>
              <w:left w:val="nil"/>
              <w:bottom w:val="single" w:sz="8" w:space="0" w:color="auto"/>
              <w:right w:val="single" w:sz="8" w:space="0" w:color="auto"/>
            </w:tcBorders>
          </w:tcPr>
          <w:p w:rsidR="003D02B8" w:rsidRDefault="003D02B8" w:rsidP="00A85F37">
            <w:pPr>
              <w:jc w:val="center"/>
              <w:rPr>
                <w:rFonts w:ascii="Arial" w:hAnsi="Arial" w:cs="Arial"/>
                <w:bCs/>
                <w:sz w:val="20"/>
                <w:szCs w:val="20"/>
              </w:rPr>
            </w:pPr>
            <w:r>
              <w:rPr>
                <w:rFonts w:ascii="Arial" w:hAnsi="Arial" w:cs="Arial"/>
                <w:bCs/>
                <w:sz w:val="20"/>
                <w:szCs w:val="20"/>
              </w:rPr>
              <w:t>HIST 1301</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2B8" w:rsidRPr="00DB654B" w:rsidRDefault="003D02B8" w:rsidP="003D02B8">
            <w:pPr>
              <w:rPr>
                <w:rFonts w:ascii="Arial" w:hAnsi="Arial" w:cs="Arial"/>
                <w:bCs/>
                <w:sz w:val="20"/>
                <w:szCs w:val="20"/>
              </w:rPr>
            </w:pPr>
            <w:r>
              <w:rPr>
                <w:rFonts w:ascii="Arial" w:hAnsi="Arial" w:cs="Arial"/>
                <w:bCs/>
                <w:sz w:val="20"/>
                <w:szCs w:val="20"/>
              </w:rPr>
              <w:t xml:space="preserve">4a.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Pr="003D02B8" w:rsidRDefault="003D02B8" w:rsidP="003D02B8">
            <w:pPr>
              <w:rPr>
                <w:rFonts w:ascii="Arial" w:hAnsi="Arial" w:cs="Arial"/>
                <w:bCs/>
                <w:sz w:val="20"/>
                <w:szCs w:val="20"/>
              </w:rPr>
            </w:pPr>
            <w:r>
              <w:rPr>
                <w:rFonts w:ascii="Arial" w:hAnsi="Arial" w:cs="Arial"/>
                <w:bCs/>
                <w:sz w:val="20"/>
                <w:szCs w:val="20"/>
              </w:rPr>
              <w:t xml:space="preserve">4a.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Default="003D02B8" w:rsidP="003D02B8">
            <w:pPr>
              <w:ind w:hanging="18"/>
              <w:rPr>
                <w:rFonts w:ascii="Arial" w:hAnsi="Arial" w:cs="Arial"/>
                <w:bCs/>
                <w:sz w:val="20"/>
                <w:szCs w:val="20"/>
              </w:rPr>
            </w:pPr>
            <w:r>
              <w:rPr>
                <w:rFonts w:ascii="Arial" w:hAnsi="Arial" w:cs="Arial"/>
                <w:bCs/>
                <w:sz w:val="20"/>
                <w:szCs w:val="20"/>
              </w:rPr>
              <w:t>4a</w:t>
            </w:r>
            <w:r>
              <w:rPr>
                <w:rFonts w:ascii="Arial" w:hAnsi="Arial" w:cs="Arial"/>
                <w:bCs/>
                <w:sz w:val="20"/>
                <w:szCs w:val="20"/>
              </w:rPr>
              <w:t>.</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Cl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Pa F2F: </w:t>
            </w:r>
          </w:p>
          <w:p w:rsidR="003D02B8" w:rsidRDefault="003D02B8" w:rsidP="003D02B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DI: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DC: </w:t>
            </w:r>
          </w:p>
          <w:p w:rsidR="003D02B8" w:rsidRPr="00DB654B" w:rsidRDefault="003D02B8" w:rsidP="003D02B8">
            <w:pPr>
              <w:ind w:left="162" w:hanging="90"/>
              <w:rPr>
                <w:rFonts w:ascii="Arial" w:hAnsi="Arial" w:cs="Arial"/>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3D02B8" w:rsidRPr="00DB654B" w:rsidRDefault="003D02B8" w:rsidP="003D02B8">
            <w:pPr>
              <w:rPr>
                <w:rFonts w:ascii="Arial" w:hAnsi="Arial" w:cs="Arial"/>
                <w:b/>
                <w:bCs/>
                <w:sz w:val="20"/>
                <w:szCs w:val="20"/>
              </w:rPr>
            </w:pPr>
            <w:r w:rsidRPr="00DB654B">
              <w:rPr>
                <w:rFonts w:ascii="Arial" w:hAnsi="Arial" w:cs="Arial"/>
                <w:bCs/>
                <w:sz w:val="20"/>
                <w:szCs w:val="20"/>
              </w:rPr>
              <w:t xml:space="preserve"> </w:t>
            </w:r>
          </w:p>
        </w:tc>
      </w:tr>
      <w:tr w:rsidR="003D02B8" w:rsidTr="00A85F37">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02B8" w:rsidRPr="00DB654B" w:rsidRDefault="003D02B8" w:rsidP="003D02B8">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3D02B8" w:rsidRDefault="003D02B8" w:rsidP="00A85F37">
            <w:pPr>
              <w:jc w:val="center"/>
              <w:rPr>
                <w:rFonts w:ascii="Arial" w:hAnsi="Arial" w:cs="Arial"/>
                <w:bCs/>
                <w:sz w:val="20"/>
                <w:szCs w:val="20"/>
              </w:rPr>
            </w:pPr>
            <w:r>
              <w:rPr>
                <w:rFonts w:ascii="Arial" w:hAnsi="Arial" w:cs="Arial"/>
                <w:bCs/>
                <w:sz w:val="20"/>
                <w:szCs w:val="20"/>
              </w:rPr>
              <w:t>HIST 1302</w:t>
            </w:r>
          </w:p>
        </w:tc>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02B8" w:rsidRPr="00DB654B" w:rsidRDefault="003D02B8" w:rsidP="003D02B8">
            <w:pPr>
              <w:rPr>
                <w:rFonts w:ascii="Arial" w:hAnsi="Arial" w:cs="Arial"/>
                <w:bCs/>
                <w:sz w:val="20"/>
                <w:szCs w:val="20"/>
              </w:rPr>
            </w:pPr>
            <w:r>
              <w:rPr>
                <w:rFonts w:ascii="Arial" w:hAnsi="Arial" w:cs="Arial"/>
                <w:bCs/>
                <w:sz w:val="20"/>
                <w:szCs w:val="20"/>
              </w:rPr>
              <w:t xml:space="preserve">4a.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Pr="003D02B8" w:rsidRDefault="003D02B8" w:rsidP="003D02B8">
            <w:pPr>
              <w:rPr>
                <w:rFonts w:ascii="Arial" w:hAnsi="Arial" w:cs="Arial"/>
                <w:bCs/>
                <w:sz w:val="20"/>
                <w:szCs w:val="20"/>
              </w:rPr>
            </w:pPr>
            <w:r>
              <w:rPr>
                <w:rFonts w:ascii="Arial" w:hAnsi="Arial" w:cs="Arial"/>
                <w:bCs/>
                <w:sz w:val="20"/>
                <w:szCs w:val="20"/>
              </w:rPr>
              <w:t xml:space="preserve">4a. </w:t>
            </w:r>
          </w:p>
        </w:tc>
        <w:tc>
          <w:tcPr>
            <w:tcW w:w="900" w:type="pct"/>
            <w:tcBorders>
              <w:top w:val="nil"/>
              <w:left w:val="nil"/>
              <w:bottom w:val="single" w:sz="8" w:space="0" w:color="auto"/>
              <w:right w:val="single" w:sz="8" w:space="0" w:color="auto"/>
            </w:tcBorders>
            <w:tcMar>
              <w:top w:w="0" w:type="dxa"/>
              <w:left w:w="108" w:type="dxa"/>
              <w:bottom w:w="0" w:type="dxa"/>
              <w:right w:w="108" w:type="dxa"/>
            </w:tcMar>
          </w:tcPr>
          <w:p w:rsidR="003D02B8" w:rsidRDefault="003D02B8" w:rsidP="003D02B8">
            <w:pPr>
              <w:ind w:hanging="18"/>
              <w:rPr>
                <w:rFonts w:ascii="Arial" w:hAnsi="Arial" w:cs="Arial"/>
                <w:bCs/>
                <w:sz w:val="20"/>
                <w:szCs w:val="20"/>
              </w:rPr>
            </w:pPr>
            <w:r>
              <w:rPr>
                <w:rFonts w:ascii="Arial" w:hAnsi="Arial" w:cs="Arial"/>
                <w:bCs/>
                <w:sz w:val="20"/>
                <w:szCs w:val="20"/>
              </w:rPr>
              <w:t>4a</w:t>
            </w:r>
            <w:r>
              <w:rPr>
                <w:rFonts w:ascii="Arial" w:hAnsi="Arial" w:cs="Arial"/>
                <w:bCs/>
                <w:sz w:val="20"/>
                <w:szCs w:val="20"/>
              </w:rPr>
              <w:t>.</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Cl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Pa F2F: </w:t>
            </w:r>
          </w:p>
          <w:p w:rsidR="003D02B8" w:rsidRDefault="003D02B8" w:rsidP="003D02B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DI: </w:t>
            </w:r>
          </w:p>
          <w:p w:rsidR="003D02B8" w:rsidRDefault="003D02B8" w:rsidP="003D02B8">
            <w:pPr>
              <w:ind w:left="160" w:hanging="88"/>
              <w:rPr>
                <w:rFonts w:ascii="Arial" w:hAnsi="Arial" w:cs="Arial"/>
                <w:bCs/>
                <w:sz w:val="20"/>
                <w:szCs w:val="20"/>
              </w:rPr>
            </w:pPr>
            <w:r>
              <w:rPr>
                <w:rFonts w:ascii="Arial" w:hAnsi="Arial" w:cs="Arial"/>
                <w:bCs/>
                <w:sz w:val="20"/>
                <w:szCs w:val="20"/>
              </w:rPr>
              <w:t xml:space="preserve">DC: </w:t>
            </w:r>
          </w:p>
          <w:p w:rsidR="003D02B8" w:rsidRPr="00DB654B" w:rsidRDefault="003D02B8" w:rsidP="003D02B8">
            <w:pPr>
              <w:ind w:left="162" w:hanging="90"/>
              <w:rPr>
                <w:rFonts w:ascii="Arial" w:hAnsi="Arial" w:cs="Arial"/>
                <w:sz w:val="20"/>
                <w:szCs w:val="20"/>
              </w:rPr>
            </w:pPr>
            <w:r>
              <w:rPr>
                <w:rFonts w:ascii="Arial" w:hAnsi="Arial" w:cs="Arial"/>
                <w:bCs/>
                <w:sz w:val="20"/>
                <w:szCs w:val="20"/>
              </w:rPr>
              <w:t xml:space="preserve">Prison:  </w:t>
            </w:r>
          </w:p>
        </w:tc>
        <w:tc>
          <w:tcPr>
            <w:tcW w:w="900" w:type="pct"/>
            <w:tcBorders>
              <w:top w:val="nil"/>
              <w:left w:val="nil"/>
              <w:bottom w:val="single" w:sz="8" w:space="0" w:color="auto"/>
              <w:right w:val="single" w:sz="8" w:space="0" w:color="auto"/>
            </w:tcBorders>
          </w:tcPr>
          <w:p w:rsidR="003D02B8" w:rsidRPr="00DB654B" w:rsidRDefault="003D02B8" w:rsidP="003D02B8">
            <w:pPr>
              <w:rPr>
                <w:rFonts w:ascii="Arial" w:hAnsi="Arial" w:cs="Arial"/>
                <w:b/>
                <w:bCs/>
                <w:sz w:val="20"/>
                <w:szCs w:val="20"/>
              </w:rPr>
            </w:pPr>
            <w:r w:rsidRPr="00DB654B">
              <w:rPr>
                <w:rFonts w:ascii="Arial" w:hAnsi="Arial" w:cs="Arial"/>
                <w:bCs/>
                <w:sz w:val="20"/>
                <w:szCs w:val="20"/>
              </w:rPr>
              <w:t xml:space="preserve"> </w:t>
            </w:r>
          </w:p>
        </w:tc>
      </w:tr>
      <w:bookmarkEnd w:id="0"/>
    </w:tbl>
    <w:p w:rsidR="005F6331" w:rsidRDefault="005F6331" w:rsidP="00F650D0"/>
    <w:sectPr w:rsidR="005F6331" w:rsidSect="0006679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6AA" w:rsidRDefault="003D76AA" w:rsidP="006C5675">
      <w:r>
        <w:separator/>
      </w:r>
    </w:p>
  </w:endnote>
  <w:endnote w:type="continuationSeparator" w:id="0">
    <w:p w:rsidR="003D76AA" w:rsidRDefault="003D76AA"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6AA" w:rsidRDefault="003D76AA" w:rsidP="006C5675">
      <w:r>
        <w:separator/>
      </w:r>
    </w:p>
  </w:footnote>
  <w:footnote w:type="continuationSeparator" w:id="0">
    <w:p w:rsidR="003D76AA" w:rsidRDefault="003D76AA"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75" w:rsidRPr="00561CFF" w:rsidRDefault="006C5675" w:rsidP="006C5675">
    <w:pPr>
      <w:pStyle w:val="Header"/>
      <w:jc w:val="center"/>
      <w:rPr>
        <w:rFonts w:ascii="Arial" w:hAnsi="Arial" w:cs="Arial"/>
        <w:b/>
      </w:rPr>
    </w:pPr>
    <w:r w:rsidRPr="00561CFF">
      <w:rPr>
        <w:rFonts w:ascii="Arial" w:hAnsi="Arial" w:cs="Arial"/>
        <w:b/>
      </w:rPr>
      <w:t>Clarendon College</w:t>
    </w:r>
  </w:p>
  <w:p w:rsidR="006C5675" w:rsidRPr="00561CFF" w:rsidRDefault="006C5675"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6C5675" w:rsidRDefault="006C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05599B"/>
    <w:rsid w:val="00066795"/>
    <w:rsid w:val="00180986"/>
    <w:rsid w:val="002142F5"/>
    <w:rsid w:val="002D6614"/>
    <w:rsid w:val="00341B5C"/>
    <w:rsid w:val="00375107"/>
    <w:rsid w:val="003C448C"/>
    <w:rsid w:val="003D02B8"/>
    <w:rsid w:val="003D76AA"/>
    <w:rsid w:val="005F6331"/>
    <w:rsid w:val="006B2D2A"/>
    <w:rsid w:val="006C5675"/>
    <w:rsid w:val="00773BC0"/>
    <w:rsid w:val="00794E66"/>
    <w:rsid w:val="007C7D85"/>
    <w:rsid w:val="00844223"/>
    <w:rsid w:val="00926F28"/>
    <w:rsid w:val="00A54C95"/>
    <w:rsid w:val="00A85F37"/>
    <w:rsid w:val="00A94681"/>
    <w:rsid w:val="00B61881"/>
    <w:rsid w:val="00B848D6"/>
    <w:rsid w:val="00BB77BA"/>
    <w:rsid w:val="00C10050"/>
    <w:rsid w:val="00D97279"/>
    <w:rsid w:val="00EC01E9"/>
    <w:rsid w:val="00ED7CD6"/>
    <w:rsid w:val="00F324BC"/>
    <w:rsid w:val="00F650D0"/>
    <w:rsid w:val="00FA4D41"/>
    <w:rsid w:val="00FC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3</cp:revision>
  <dcterms:created xsi:type="dcterms:W3CDTF">2015-04-22T17:55:00Z</dcterms:created>
  <dcterms:modified xsi:type="dcterms:W3CDTF">2015-04-22T18:25:00Z</dcterms:modified>
</cp:coreProperties>
</file>